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702" w:tblpY="1908"/>
        <w:tblOverlap w:val="never"/>
        <w:tblW w:w="93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467"/>
        <w:gridCol w:w="4450"/>
        <w:gridCol w:w="1017"/>
        <w:gridCol w:w="846"/>
        <w:gridCol w:w="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设计内容</w:t>
            </w:r>
          </w:p>
        </w:tc>
        <w:tc>
          <w:tcPr>
            <w:tcW w:w="4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内容描述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单位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设计预算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1</w:t>
            </w: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博士墙拓宽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设计</w:t>
            </w:r>
          </w:p>
        </w:tc>
        <w:tc>
          <w:tcPr>
            <w:tcW w:w="44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beforeLines="0" w:afterLines="0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设计面积约140㎡。</w:t>
            </w:r>
          </w:p>
          <w:p>
            <w:pPr>
              <w:widowControl/>
              <w:numPr>
                <w:ilvl w:val="0"/>
                <w:numId w:val="1"/>
              </w:numPr>
              <w:spacing w:beforeLines="0" w:afterLines="0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新增展示区域与原有设计风格协调统一。</w:t>
            </w:r>
          </w:p>
          <w:p>
            <w:pPr>
              <w:widowControl/>
              <w:numPr>
                <w:ilvl w:val="0"/>
                <w:numId w:val="1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设计应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  <w:t>考虑未来扩展性，便于后续更新和维护。</w:t>
            </w:r>
          </w:p>
          <w:p>
            <w:pPr>
              <w:widowControl/>
              <w:numPr>
                <w:ilvl w:val="0"/>
                <w:numId w:val="1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设计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  <w:t>布局需合理，信息展示清晰。</w:t>
            </w:r>
          </w:p>
          <w:p>
            <w:pPr>
              <w:widowControl/>
              <w:numPr>
                <w:ilvl w:val="0"/>
                <w:numId w:val="1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  <w:t>表面处理需光滑、易清洁，保持长期美观。</w:t>
            </w:r>
          </w:p>
          <w:p>
            <w:pPr>
              <w:widowControl/>
              <w:numPr>
                <w:ilvl w:val="0"/>
                <w:numId w:val="1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设计应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  <w:t>考虑安装便捷性，确保施工周期短、对医院日常运营影响小。</w:t>
            </w:r>
          </w:p>
          <w:p>
            <w:pPr>
              <w:widowControl/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  <w:t>增设照明设施，提高展示效果。</w:t>
            </w:r>
          </w:p>
          <w:p>
            <w:pPr>
              <w:widowControl/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选用环保、耐用的材料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采用牢固、可靠的安装方式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1.1万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IP形象及衍生物料设计</w:t>
            </w:r>
          </w:p>
        </w:tc>
        <w:tc>
          <w:tcPr>
            <w:tcW w:w="4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Lines="0" w:afterLines="0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1.IP形象为原创作品，须符合国家有关法律法规，禁止使用AI生成作品。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2.作品应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符合医院发展定位和文化特色，提升医院形象的亲和力和影响力。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具有艺术性，美观大方、个性鲜明、色彩协调，同时具备辨识度和记忆点，思想性与艺术性高度统一，打造IP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专属文化形象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，利于广泛传播。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3.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形象数量不限（可1-2个形象为一个组合），形象阳光、亲切、热情、积极向上且不涉及对具体自然人的描绘。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4.作品内容应体现医院特性与社会形象，符合主流价值观，没有歧义。可适当融入包括但不限于医院院徽、院训及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地域特色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、医院特色相关的元素。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5.作品应适用于不同的宣传媒介和场合，如医院内部物料、宣传册、网站、微信等社交媒体、文创延伸产品等。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6.作品须有IP形象名称，并附200字至500字文案，对作品内涵作简要说明。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7.设计稿提交方式，格式一般为JPG、PSD、AI等常用格式设计原稿，文件大小为2M-20M,分辨率不低于720dpi。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8.至少有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5年行业经验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的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设计师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和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美术指导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负责设计</w:t>
            </w:r>
          </w:p>
          <w:p>
            <w:pPr>
              <w:widowControl/>
              <w:numPr>
                <w:ilvl w:val="0"/>
                <w:numId w:val="0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2.1万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荣誉墙等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景观小品设计</w:t>
            </w:r>
          </w:p>
        </w:tc>
        <w:tc>
          <w:tcPr>
            <w:tcW w:w="4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设计面积约21㎡。</w:t>
            </w:r>
          </w:p>
          <w:p>
            <w:pPr>
              <w:widowControl/>
              <w:numPr>
                <w:ilvl w:val="0"/>
                <w:numId w:val="2"/>
              </w:numPr>
              <w:spacing w:beforeLines="0" w:afterLines="0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展示医院重要荣誉，彰显医院在医疗、教学、科研及社会服务等方面的卓越成就，弘扬医院文化。</w:t>
            </w:r>
          </w:p>
          <w:p>
            <w:pPr>
              <w:widowControl/>
              <w:numPr>
                <w:ilvl w:val="0"/>
                <w:numId w:val="2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设计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兼顾美观与实用性，采用现代简约风格，与医院整体环境相协调。</w:t>
            </w:r>
          </w:p>
          <w:p>
            <w:pPr>
              <w:widowControl/>
              <w:numPr>
                <w:ilvl w:val="0"/>
                <w:numId w:val="2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成为医院员工和访客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了解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医院历史、文化和价值观的教育基地。</w:t>
            </w:r>
          </w:p>
          <w:p>
            <w:pPr>
              <w:widowControl/>
              <w:numPr>
                <w:ilvl w:val="0"/>
                <w:numId w:val="2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设计应</w:t>
            </w: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考虑未来荣誉的添加，确保荣誉墙能够持续更新，反映医院的最新成就。</w:t>
            </w:r>
          </w:p>
          <w:p>
            <w:pPr>
              <w:widowControl/>
              <w:numPr>
                <w:ilvl w:val="0"/>
                <w:numId w:val="2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根据空间大小，合理规划布局。</w:t>
            </w:r>
          </w:p>
          <w:p>
            <w:pPr>
              <w:widowControl/>
              <w:numPr>
                <w:ilvl w:val="0"/>
                <w:numId w:val="2"/>
              </w:numPr>
              <w:spacing w:beforeLines="0" w:afterLines="0"/>
              <w:ind w:left="0" w:leftChars="0" w:firstLine="0" w:firstLineChar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选用环保、耐用的材料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0.6万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浮石院区绿化带院名发光字设计</w:t>
            </w:r>
          </w:p>
        </w:tc>
        <w:tc>
          <w:tcPr>
            <w:tcW w:w="4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</w:p>
          <w:p>
            <w:pPr>
              <w:widowControl/>
              <w:numPr>
                <w:ilvl w:val="0"/>
                <w:numId w:val="3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设计需符合医院的品牌形象和文化内涵，与医院整体建筑风格相协调，提升医院的整体美观度。</w:t>
            </w:r>
          </w:p>
          <w:p>
            <w:pPr>
              <w:widowControl/>
              <w:numPr>
                <w:ilvl w:val="0"/>
                <w:numId w:val="3"/>
              </w:numPr>
              <w:spacing w:beforeLines="0" w:afterLines="0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提升医院的品牌形象，增强夜间辨识度，营造温馨的就医环境。</w:t>
            </w:r>
          </w:p>
          <w:p>
            <w:pPr>
              <w:widowControl/>
              <w:numPr>
                <w:ilvl w:val="0"/>
                <w:numId w:val="3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确保发光字在夜间及光线较暗的环境下能够清晰、醒目地展示医院名称。</w:t>
            </w:r>
          </w:p>
          <w:p>
            <w:pPr>
              <w:widowControl/>
              <w:numPr>
                <w:ilvl w:val="0"/>
                <w:numId w:val="3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发光字需采用高质量的材料和工艺，确保长期稳定运行，减少维护成本。</w:t>
            </w:r>
          </w:p>
          <w:p>
            <w:pPr>
              <w:widowControl/>
              <w:numPr>
                <w:ilvl w:val="0"/>
                <w:numId w:val="3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选用节能、环保的LED光源，降低能耗，符合绿色医院的建设理念。</w:t>
            </w:r>
          </w:p>
          <w:p>
            <w:pPr>
              <w:widowControl/>
              <w:numPr>
                <w:ilvl w:val="0"/>
                <w:numId w:val="3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设计需考虑发光字的易维护性，如易于更换光源、清洁等。</w:t>
            </w:r>
          </w:p>
          <w:p>
            <w:pPr>
              <w:widowControl/>
              <w:numPr>
                <w:ilvl w:val="0"/>
                <w:numId w:val="3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字体需清晰易读，符合医院品牌形象，可考虑使用医院标志字体或经过优化的标准字体。</w:t>
            </w:r>
          </w:p>
          <w:p>
            <w:pPr>
              <w:widowControl/>
              <w:numPr>
                <w:ilvl w:val="0"/>
                <w:numId w:val="3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根据空间大小和视线高度，合理确定发光字的尺寸和比例，确保视觉效果协调。</w:t>
            </w:r>
          </w:p>
          <w:p>
            <w:pPr>
              <w:widowControl/>
              <w:numPr>
                <w:ilvl w:val="0"/>
                <w:numId w:val="3"/>
              </w:numPr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val="en-US" w:eastAsia="zh-CN" w:bidi="ar"/>
              </w:rPr>
              <w:t>采用牢固、可靠的安装方式，确保发光字在恶劣天气条件下仍能稳定运行。</w:t>
            </w:r>
          </w:p>
          <w:p>
            <w:pPr>
              <w:widowControl/>
              <w:spacing w:beforeLines="0" w:afterLines="0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</w:pPr>
            <w:r>
              <w:rPr>
                <w:rFonts w:hint="default" w:ascii="宋体" w:hAnsi="宋体" w:cs="宋体"/>
                <w:color w:val="000000"/>
                <w:sz w:val="21"/>
                <w:szCs w:val="21"/>
                <w:lang w:bidi="ar"/>
              </w:rPr>
              <w:t>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 w:bidi="ar"/>
              </w:rPr>
              <w:t>0.4万</w:t>
            </w:r>
          </w:p>
        </w:tc>
      </w:tr>
    </w:tbl>
    <w:p>
      <w:pPr>
        <w:jc w:val="both"/>
        <w:rPr>
          <w:rFonts w:hint="default"/>
          <w:b/>
          <w:bCs/>
          <w:sz w:val="21"/>
          <w:szCs w:val="21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/>
        <w:sz w:val="21"/>
        <w:szCs w:val="21"/>
        <w:lang w:val="en-US" w:eastAsia="zh-CN"/>
      </w:rPr>
    </w:pPr>
    <w:r>
      <w:rPr>
        <w:rFonts w:hint="eastAsia"/>
        <w:b/>
        <w:bCs/>
        <w:sz w:val="21"/>
        <w:szCs w:val="21"/>
        <w:lang w:val="en-US" w:eastAsia="zh-CN"/>
      </w:rPr>
      <w:t>衢州市人民医院文化建设（一期）设计项目采购清单</w:t>
    </w:r>
  </w:p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88A7D0"/>
    <w:multiLevelType w:val="singleLevel"/>
    <w:tmpl w:val="DA88A7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7B828BE"/>
    <w:multiLevelType w:val="singleLevel"/>
    <w:tmpl w:val="E7B828B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F5E79F1"/>
    <w:multiLevelType w:val="singleLevel"/>
    <w:tmpl w:val="5F5E79F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yMjIzMjVhZDYyZDBjMDI2NDQwYmYyNzkzNDM1N2YifQ=="/>
  </w:docVars>
  <w:rsids>
    <w:rsidRoot w:val="00000000"/>
    <w:rsid w:val="05405B86"/>
    <w:rsid w:val="07440649"/>
    <w:rsid w:val="0FF87EA4"/>
    <w:rsid w:val="1B4F7512"/>
    <w:rsid w:val="20B76CC4"/>
    <w:rsid w:val="26492DAF"/>
    <w:rsid w:val="29DD3F3B"/>
    <w:rsid w:val="33DC27D7"/>
    <w:rsid w:val="5B8F039D"/>
    <w:rsid w:val="5EB427B5"/>
    <w:rsid w:val="6C2E3BA6"/>
    <w:rsid w:val="72A1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1569</Words>
  <Characters>1608</Characters>
  <Lines>0</Lines>
  <Paragraphs>0</Paragraphs>
  <TotalTime>4</TotalTime>
  <ScaleCrop>false</ScaleCrop>
  <LinksUpToDate>false</LinksUpToDate>
  <CharactersWithSpaces>1609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2024-10-16T08:02:00Z</dcterms:created>
  <dc:creator>user</dc:creator>
  <cp:lastModifiedBy>语歌小院</cp:lastModifiedBy>
  <dcterms:modified xsi:type="dcterms:W3CDTF">2024-10-18T02:53:47Z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4DF9B08F83B743D3B4F9FA93B1F88D3E_13</vt:lpwstr>
  </property>
</Properties>
</file>