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4155" w:rsidRDefault="00054155" w:rsidP="00B95A73">
      <w:r>
        <w:rPr>
          <w:rFonts w:hint="eastAsia"/>
        </w:rPr>
        <w:t>附件：</w:t>
      </w:r>
    </w:p>
    <w:tbl>
      <w:tblPr>
        <w:tblW w:w="9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2"/>
        <w:gridCol w:w="4118"/>
        <w:gridCol w:w="710"/>
        <w:gridCol w:w="1004"/>
        <w:gridCol w:w="2794"/>
      </w:tblGrid>
      <w:tr w:rsidR="00054155" w:rsidTr="00054155">
        <w:trPr>
          <w:trHeight w:val="734"/>
          <w:jc w:val="center"/>
        </w:trPr>
        <w:tc>
          <w:tcPr>
            <w:tcW w:w="722" w:type="dxa"/>
            <w:vAlign w:val="center"/>
          </w:tcPr>
          <w:p w:rsidR="00054155" w:rsidRDefault="00054155" w:rsidP="00024513">
            <w:pPr>
              <w:widowControl/>
              <w:jc w:val="center"/>
              <w:rPr>
                <w:rFonts w:ascii="宋体" w:hAnsi="宋体" w:cs="宋体"/>
                <w:b/>
                <w:bCs/>
                <w:kern w:val="0"/>
                <w:szCs w:val="21"/>
              </w:rPr>
            </w:pPr>
            <w:r>
              <w:rPr>
                <w:rFonts w:ascii="宋体" w:hAnsi="宋体" w:cs="宋体" w:hint="eastAsia"/>
                <w:b/>
                <w:bCs/>
                <w:kern w:val="0"/>
                <w:szCs w:val="21"/>
              </w:rPr>
              <w:t>材料名称</w:t>
            </w:r>
          </w:p>
        </w:tc>
        <w:tc>
          <w:tcPr>
            <w:tcW w:w="4118" w:type="dxa"/>
            <w:vAlign w:val="center"/>
          </w:tcPr>
          <w:p w:rsidR="00054155" w:rsidRDefault="00054155" w:rsidP="00024513">
            <w:pPr>
              <w:widowControl/>
              <w:jc w:val="center"/>
              <w:rPr>
                <w:rFonts w:ascii="宋体" w:hAnsi="宋体" w:cs="宋体"/>
                <w:b/>
                <w:bCs/>
                <w:kern w:val="0"/>
                <w:szCs w:val="21"/>
              </w:rPr>
            </w:pPr>
            <w:r>
              <w:rPr>
                <w:rFonts w:ascii="宋体" w:hAnsi="宋体" w:cs="宋体" w:hint="eastAsia"/>
                <w:b/>
                <w:bCs/>
                <w:kern w:val="0"/>
                <w:szCs w:val="21"/>
              </w:rPr>
              <w:t>技术参数</w:t>
            </w:r>
          </w:p>
        </w:tc>
        <w:tc>
          <w:tcPr>
            <w:tcW w:w="710" w:type="dxa"/>
            <w:vAlign w:val="center"/>
          </w:tcPr>
          <w:p w:rsidR="00054155" w:rsidRDefault="00054155" w:rsidP="00024513">
            <w:pPr>
              <w:widowControl/>
              <w:jc w:val="center"/>
              <w:rPr>
                <w:rFonts w:ascii="宋体" w:hAnsi="宋体" w:cs="宋体"/>
                <w:b/>
                <w:bCs/>
                <w:kern w:val="0"/>
                <w:szCs w:val="21"/>
              </w:rPr>
            </w:pPr>
            <w:r>
              <w:rPr>
                <w:rFonts w:ascii="宋体" w:hAnsi="宋体" w:cs="宋体" w:hint="eastAsia"/>
                <w:b/>
                <w:bCs/>
                <w:kern w:val="0"/>
                <w:szCs w:val="21"/>
              </w:rPr>
              <w:t>单位</w:t>
            </w:r>
          </w:p>
        </w:tc>
        <w:tc>
          <w:tcPr>
            <w:tcW w:w="1004" w:type="dxa"/>
            <w:vAlign w:val="center"/>
          </w:tcPr>
          <w:p w:rsidR="00054155" w:rsidRDefault="00054155" w:rsidP="00024513">
            <w:pPr>
              <w:widowControl/>
              <w:jc w:val="center"/>
              <w:rPr>
                <w:rFonts w:ascii="宋体" w:hAnsi="宋体" w:cs="宋体"/>
                <w:b/>
                <w:bCs/>
                <w:kern w:val="0"/>
                <w:szCs w:val="21"/>
              </w:rPr>
            </w:pPr>
            <w:r>
              <w:rPr>
                <w:rFonts w:ascii="宋体" w:hAnsi="宋体" w:cs="宋体" w:hint="eastAsia"/>
                <w:b/>
                <w:bCs/>
                <w:kern w:val="0"/>
                <w:szCs w:val="21"/>
              </w:rPr>
              <w:t>数 量</w:t>
            </w:r>
          </w:p>
        </w:tc>
        <w:tc>
          <w:tcPr>
            <w:tcW w:w="2794" w:type="dxa"/>
            <w:vAlign w:val="center"/>
          </w:tcPr>
          <w:p w:rsidR="00054155" w:rsidRDefault="00054155" w:rsidP="00024513">
            <w:pPr>
              <w:widowControl/>
              <w:jc w:val="center"/>
              <w:rPr>
                <w:rFonts w:ascii="宋体" w:hAnsi="宋体" w:cs="宋体"/>
                <w:b/>
                <w:bCs/>
                <w:kern w:val="0"/>
                <w:szCs w:val="21"/>
              </w:rPr>
            </w:pPr>
            <w:r>
              <w:rPr>
                <w:rFonts w:ascii="宋体" w:hAnsi="宋体" w:cs="宋体" w:hint="eastAsia"/>
                <w:b/>
                <w:bCs/>
                <w:kern w:val="0"/>
                <w:szCs w:val="21"/>
              </w:rPr>
              <w:t>参考图示</w:t>
            </w:r>
          </w:p>
        </w:tc>
      </w:tr>
      <w:tr w:rsidR="00054155" w:rsidTr="00054155">
        <w:trPr>
          <w:trHeight w:val="1867"/>
          <w:jc w:val="center"/>
        </w:trPr>
        <w:tc>
          <w:tcPr>
            <w:tcW w:w="722" w:type="dxa"/>
            <w:vMerge w:val="restart"/>
            <w:vAlign w:val="center"/>
          </w:tcPr>
          <w:p w:rsidR="00054155" w:rsidRDefault="00054155" w:rsidP="00024513">
            <w:pPr>
              <w:widowControl/>
              <w:jc w:val="center"/>
              <w:textAlignment w:val="center"/>
              <w:rPr>
                <w:rFonts w:ascii="宋体" w:hAnsi="宋体" w:cs="宋体"/>
                <w:szCs w:val="21"/>
              </w:rPr>
            </w:pPr>
            <w:r>
              <w:rPr>
                <w:rFonts w:ascii="宋体" w:hAnsi="宋体" w:cs="宋体" w:hint="eastAsia"/>
                <w:kern w:val="0"/>
                <w:szCs w:val="21"/>
              </w:rPr>
              <w:t>窗帘</w:t>
            </w:r>
          </w:p>
        </w:tc>
        <w:tc>
          <w:tcPr>
            <w:tcW w:w="4118" w:type="dxa"/>
            <w:vAlign w:val="center"/>
          </w:tcPr>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门幅2.8±0.05米</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纤维含量：100%聚酯纤维；</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▲克重：干燥重量≥280g/㎡；</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▲透光率达到≥60%</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水洗尺寸变化率：经纬向≤±1%；</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耐皂洗色牢度：≥4级；</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PH值：符合4.0-9.0；</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具有良好的抗静电性能；</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▲游离甲醛含量：≤300mg/kg;</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▲阻燃等级：符合GB/T17951-2006建筑材料及制品燃烧性能分级B1级。</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▲提供15种以上花色图案窗帘布供采购人选择</w:t>
            </w:r>
          </w:p>
        </w:tc>
        <w:tc>
          <w:tcPr>
            <w:tcW w:w="710" w:type="dxa"/>
            <w:vMerge w:val="restart"/>
            <w:vAlign w:val="center"/>
          </w:tcPr>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r>
              <w:rPr>
                <w:rFonts w:ascii="宋体" w:hAnsi="宋体" w:cs="宋体" w:hint="eastAsia"/>
                <w:kern w:val="0"/>
                <w:szCs w:val="21"/>
              </w:rPr>
              <w:t>米</w:t>
            </w:r>
          </w:p>
        </w:tc>
        <w:tc>
          <w:tcPr>
            <w:tcW w:w="1004" w:type="dxa"/>
            <w:vMerge w:val="restart"/>
            <w:vAlign w:val="center"/>
          </w:tcPr>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r>
              <w:rPr>
                <w:rFonts w:ascii="宋体" w:hAnsi="宋体" w:cs="宋体" w:hint="eastAsia"/>
                <w:kern w:val="0"/>
                <w:szCs w:val="21"/>
              </w:rPr>
              <w:t>119</w:t>
            </w:r>
          </w:p>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r>
              <w:rPr>
                <w:rFonts w:ascii="宋体" w:hAnsi="宋体" w:cs="宋体" w:hint="eastAsia"/>
                <w:kern w:val="0"/>
                <w:szCs w:val="21"/>
              </w:rPr>
              <w:t>按1:1.6</w:t>
            </w:r>
          </w:p>
        </w:tc>
        <w:tc>
          <w:tcPr>
            <w:tcW w:w="2794" w:type="dxa"/>
            <w:vMerge w:val="restart"/>
            <w:vAlign w:val="center"/>
          </w:tcPr>
          <w:p w:rsidR="00054155" w:rsidRDefault="00054155" w:rsidP="00024513">
            <w:pPr>
              <w:widowControl/>
              <w:jc w:val="left"/>
            </w:pPr>
          </w:p>
          <w:p w:rsidR="00054155" w:rsidRDefault="00054155" w:rsidP="00024513">
            <w:pPr>
              <w:widowControl/>
              <w:jc w:val="center"/>
              <w:rPr>
                <w:rFonts w:ascii="宋体" w:hAnsi="宋体" w:cs="宋体"/>
                <w:kern w:val="0"/>
                <w:szCs w:val="21"/>
              </w:rPr>
            </w:pPr>
            <w:r>
              <w:rPr>
                <w:noProof/>
              </w:rPr>
              <w:drawing>
                <wp:inline distT="0" distB="0" distL="0" distR="0">
                  <wp:extent cx="1543050" cy="154305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7"/>
                          <a:srcRect/>
                          <a:stretch>
                            <a:fillRect/>
                          </a:stretch>
                        </pic:blipFill>
                        <pic:spPr bwMode="auto">
                          <a:xfrm>
                            <a:off x="0" y="0"/>
                            <a:ext cx="1543050" cy="1543050"/>
                          </a:xfrm>
                          <a:prstGeom prst="rect">
                            <a:avLst/>
                          </a:prstGeom>
                          <a:noFill/>
                          <a:ln w="9525">
                            <a:noFill/>
                            <a:miter lim="800000"/>
                            <a:headEnd/>
                            <a:tailEnd/>
                          </a:ln>
                        </pic:spPr>
                      </pic:pic>
                    </a:graphicData>
                  </a:graphic>
                </wp:inline>
              </w:drawing>
            </w:r>
          </w:p>
        </w:tc>
      </w:tr>
      <w:tr w:rsidR="00054155" w:rsidTr="00054155">
        <w:trPr>
          <w:trHeight w:val="90"/>
          <w:jc w:val="center"/>
        </w:trPr>
        <w:tc>
          <w:tcPr>
            <w:tcW w:w="722" w:type="dxa"/>
            <w:vMerge/>
            <w:vAlign w:val="center"/>
          </w:tcPr>
          <w:p w:rsidR="00054155" w:rsidRDefault="00054155" w:rsidP="00024513">
            <w:pPr>
              <w:widowControl/>
              <w:jc w:val="left"/>
              <w:textAlignment w:val="center"/>
            </w:pPr>
          </w:p>
        </w:tc>
        <w:tc>
          <w:tcPr>
            <w:tcW w:w="4118" w:type="dxa"/>
            <w:vAlign w:val="center"/>
          </w:tcPr>
          <w:p w:rsidR="00054155" w:rsidRDefault="00054155" w:rsidP="00024513">
            <w:pPr>
              <w:widowControl/>
              <w:jc w:val="left"/>
              <w:textAlignment w:val="center"/>
              <w:rPr>
                <w:rFonts w:ascii="宋体" w:hAnsi="宋体" w:cs="宋体"/>
                <w:kern w:val="0"/>
                <w:szCs w:val="21"/>
              </w:rPr>
            </w:pPr>
            <w:r>
              <w:rPr>
                <w:rFonts w:ascii="宋体" w:hAnsi="宋体" w:cs="宋体" w:hint="eastAsia"/>
                <w:b/>
                <w:sz w:val="22"/>
              </w:rPr>
              <w:t>提供经国家认证机构认定的第三方检测机构最新出具的有效检测报告原件</w:t>
            </w:r>
          </w:p>
        </w:tc>
        <w:tc>
          <w:tcPr>
            <w:tcW w:w="710" w:type="dxa"/>
            <w:vMerge/>
            <w:vAlign w:val="center"/>
          </w:tcPr>
          <w:p w:rsidR="00054155" w:rsidRDefault="00054155" w:rsidP="00024513">
            <w:pPr>
              <w:widowControl/>
              <w:jc w:val="left"/>
              <w:textAlignment w:val="center"/>
              <w:rPr>
                <w:rFonts w:ascii="宋体" w:hAnsi="宋体" w:cs="宋体"/>
                <w:kern w:val="0"/>
                <w:szCs w:val="21"/>
              </w:rPr>
            </w:pPr>
          </w:p>
        </w:tc>
        <w:tc>
          <w:tcPr>
            <w:tcW w:w="1004" w:type="dxa"/>
            <w:vMerge/>
            <w:vAlign w:val="center"/>
          </w:tcPr>
          <w:p w:rsidR="00054155" w:rsidRDefault="00054155" w:rsidP="00024513">
            <w:pPr>
              <w:widowControl/>
              <w:jc w:val="left"/>
              <w:textAlignment w:val="center"/>
              <w:rPr>
                <w:rFonts w:ascii="宋体" w:hAnsi="宋体" w:cs="宋体"/>
                <w:kern w:val="0"/>
                <w:szCs w:val="21"/>
              </w:rPr>
            </w:pPr>
          </w:p>
        </w:tc>
        <w:tc>
          <w:tcPr>
            <w:tcW w:w="2794" w:type="dxa"/>
            <w:vMerge/>
            <w:vAlign w:val="center"/>
          </w:tcPr>
          <w:p w:rsidR="00054155" w:rsidRDefault="00054155" w:rsidP="00024513">
            <w:pPr>
              <w:widowControl/>
              <w:jc w:val="left"/>
              <w:textAlignment w:val="center"/>
              <w:rPr>
                <w:rFonts w:ascii="宋体" w:hAnsi="宋体" w:cs="宋体"/>
                <w:kern w:val="0"/>
                <w:szCs w:val="21"/>
              </w:rPr>
            </w:pPr>
          </w:p>
        </w:tc>
      </w:tr>
      <w:tr w:rsidR="00054155" w:rsidTr="00054155">
        <w:trPr>
          <w:trHeight w:val="619"/>
          <w:jc w:val="center"/>
        </w:trPr>
        <w:tc>
          <w:tcPr>
            <w:tcW w:w="722" w:type="dxa"/>
            <w:vMerge w:val="restart"/>
            <w:vAlign w:val="center"/>
          </w:tcPr>
          <w:p w:rsidR="00054155" w:rsidRDefault="00054155" w:rsidP="00024513">
            <w:pPr>
              <w:widowControl/>
              <w:jc w:val="center"/>
              <w:textAlignment w:val="center"/>
              <w:rPr>
                <w:rFonts w:ascii="宋体" w:hAnsi="宋体" w:cs="宋体"/>
                <w:kern w:val="0"/>
                <w:szCs w:val="21"/>
              </w:rPr>
            </w:pPr>
            <w:r>
              <w:rPr>
                <w:rFonts w:ascii="宋体" w:hAnsi="宋体" w:cs="宋体" w:hint="eastAsia"/>
                <w:kern w:val="0"/>
                <w:szCs w:val="21"/>
              </w:rPr>
              <w:t>窗帘轨道</w:t>
            </w:r>
          </w:p>
        </w:tc>
        <w:tc>
          <w:tcPr>
            <w:tcW w:w="4118" w:type="dxa"/>
          </w:tcPr>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1、轨道：采用高品质特韧型特殊铝合金挤压件，壁厚1.0mm，高度20mm，宽度20mm；每米</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轨道承重面料达到5KG。</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2、滑轮：干式自润滑功能，润滑性能持久，滑动顺畅始终如一。</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3、托架：按键式安装系统，材质为高品质铝合金挤压件，高压喷涂工艺，使用螺丝安装，安装牢固、装配可靠。</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4、封口：采用拧式终止挂钩带端盖设计，安装方便可靠；抗紫外线材料，抗老化不磨损。结实美观，绿色环保。</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5、窗帘挂钩：制作方法：用于定位褶制作，产品说明：单钩长7公分，宽2.5公分，金属材质，不易生锈；每米6个挂钩。</w:t>
            </w:r>
          </w:p>
        </w:tc>
        <w:tc>
          <w:tcPr>
            <w:tcW w:w="710" w:type="dxa"/>
            <w:vMerge w:val="restart"/>
            <w:vAlign w:val="center"/>
          </w:tcPr>
          <w:p w:rsidR="00054155" w:rsidRDefault="00054155" w:rsidP="00024513">
            <w:pPr>
              <w:widowControl/>
              <w:jc w:val="center"/>
              <w:textAlignment w:val="center"/>
              <w:rPr>
                <w:rFonts w:ascii="宋体" w:hAnsi="宋体" w:cs="宋体"/>
                <w:kern w:val="0"/>
                <w:szCs w:val="21"/>
              </w:rPr>
            </w:pPr>
            <w:r>
              <w:rPr>
                <w:rFonts w:ascii="宋体" w:hAnsi="宋体" w:cs="宋体" w:hint="eastAsia"/>
                <w:kern w:val="0"/>
                <w:szCs w:val="21"/>
              </w:rPr>
              <w:t>米</w:t>
            </w:r>
          </w:p>
        </w:tc>
        <w:tc>
          <w:tcPr>
            <w:tcW w:w="1004" w:type="dxa"/>
            <w:vMerge w:val="restart"/>
            <w:vAlign w:val="center"/>
          </w:tcPr>
          <w:p w:rsidR="00054155" w:rsidRDefault="00054155" w:rsidP="00024513">
            <w:pPr>
              <w:widowControl/>
              <w:jc w:val="center"/>
              <w:textAlignment w:val="center"/>
              <w:rPr>
                <w:rFonts w:ascii="宋体" w:eastAsia="宋体" w:hAnsi="宋体" w:cs="宋体"/>
                <w:kern w:val="0"/>
                <w:szCs w:val="21"/>
              </w:rPr>
            </w:pPr>
            <w:r>
              <w:rPr>
                <w:rFonts w:ascii="宋体" w:hAnsi="宋体" w:cs="宋体" w:hint="eastAsia"/>
                <w:kern w:val="0"/>
                <w:szCs w:val="21"/>
              </w:rPr>
              <w:t>74.36</w:t>
            </w:r>
          </w:p>
        </w:tc>
        <w:tc>
          <w:tcPr>
            <w:tcW w:w="2794" w:type="dxa"/>
            <w:vMerge w:val="restart"/>
          </w:tcPr>
          <w:p w:rsidR="00054155" w:rsidRDefault="00054155" w:rsidP="00024513">
            <w:pPr>
              <w:widowControl/>
              <w:jc w:val="center"/>
              <w:rPr>
                <w:rFonts w:ascii="宋体" w:hAnsi="宋体" w:cs="宋体"/>
                <w:kern w:val="0"/>
                <w:szCs w:val="21"/>
              </w:rPr>
            </w:pPr>
            <w:r>
              <w:rPr>
                <w:rFonts w:ascii="宋体" w:hAnsi="宋体" w:cs="宋体"/>
                <w:noProof/>
                <w:kern w:val="0"/>
                <w:sz w:val="24"/>
                <w:szCs w:val="24"/>
              </w:rPr>
              <w:drawing>
                <wp:inline distT="0" distB="0" distL="0" distR="0">
                  <wp:extent cx="1600200" cy="1228725"/>
                  <wp:effectExtent l="19050" t="0" r="0" b="0"/>
                  <wp:docPr id="5" name="图片 10" descr="TFCM(C@63XBEGTRUILXRZ9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TFCM(C@63XBEGTRUILXRZ9Y"/>
                          <pic:cNvPicPr>
                            <a:picLocks noChangeAspect="1" noChangeArrowheads="1"/>
                          </pic:cNvPicPr>
                        </pic:nvPicPr>
                        <pic:blipFill>
                          <a:blip r:embed="rId8"/>
                          <a:srcRect/>
                          <a:stretch>
                            <a:fillRect/>
                          </a:stretch>
                        </pic:blipFill>
                        <pic:spPr bwMode="auto">
                          <a:xfrm>
                            <a:off x="0" y="0"/>
                            <a:ext cx="1600200" cy="1228725"/>
                          </a:xfrm>
                          <a:prstGeom prst="rect">
                            <a:avLst/>
                          </a:prstGeom>
                          <a:noFill/>
                          <a:ln w="9525">
                            <a:noFill/>
                            <a:miter lim="800000"/>
                            <a:headEnd/>
                            <a:tailEnd/>
                          </a:ln>
                        </pic:spPr>
                      </pic:pic>
                    </a:graphicData>
                  </a:graphic>
                </wp:inline>
              </w:drawing>
            </w:r>
            <w:r>
              <w:rPr>
                <w:rFonts w:ascii="宋体" w:hAnsi="宋体" w:cs="宋体"/>
                <w:noProof/>
                <w:kern w:val="0"/>
                <w:sz w:val="24"/>
                <w:szCs w:val="24"/>
              </w:rPr>
              <w:drawing>
                <wp:inline distT="0" distB="0" distL="0" distR="0">
                  <wp:extent cx="1485900" cy="1419225"/>
                  <wp:effectExtent l="1905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srcRect l="13345" t="26453" r="16142" b="13518"/>
                          <a:stretch>
                            <a:fillRect/>
                          </a:stretch>
                        </pic:blipFill>
                        <pic:spPr bwMode="auto">
                          <a:xfrm rot="10800000">
                            <a:off x="0" y="0"/>
                            <a:ext cx="1485900" cy="1419225"/>
                          </a:xfrm>
                          <a:prstGeom prst="rect">
                            <a:avLst/>
                          </a:prstGeom>
                          <a:noFill/>
                          <a:ln w="9525">
                            <a:noFill/>
                            <a:miter lim="800000"/>
                            <a:headEnd/>
                            <a:tailEnd/>
                          </a:ln>
                        </pic:spPr>
                      </pic:pic>
                    </a:graphicData>
                  </a:graphic>
                </wp:inline>
              </w:drawing>
            </w:r>
          </w:p>
        </w:tc>
      </w:tr>
      <w:tr w:rsidR="00054155" w:rsidTr="00054155">
        <w:trPr>
          <w:trHeight w:val="619"/>
          <w:jc w:val="center"/>
        </w:trPr>
        <w:tc>
          <w:tcPr>
            <w:tcW w:w="722" w:type="dxa"/>
            <w:vMerge/>
            <w:vAlign w:val="center"/>
          </w:tcPr>
          <w:p w:rsidR="00054155" w:rsidRDefault="00054155" w:rsidP="00024513">
            <w:pPr>
              <w:jc w:val="left"/>
            </w:pPr>
          </w:p>
        </w:tc>
        <w:tc>
          <w:tcPr>
            <w:tcW w:w="4118" w:type="dxa"/>
          </w:tcPr>
          <w:p w:rsidR="00054155" w:rsidRDefault="00054155" w:rsidP="00024513">
            <w:pPr>
              <w:autoSpaceDE w:val="0"/>
              <w:autoSpaceDN w:val="0"/>
              <w:spacing w:line="400" w:lineRule="exact"/>
              <w:jc w:val="left"/>
              <w:rPr>
                <w:rFonts w:ascii="宋体" w:hAnsi="宋体" w:cs="宋体"/>
                <w:kern w:val="0"/>
                <w:szCs w:val="21"/>
              </w:rPr>
            </w:pPr>
            <w:r>
              <w:rPr>
                <w:rFonts w:ascii="宋体" w:hAnsi="宋体" w:cs="宋体" w:hint="eastAsia"/>
                <w:b/>
                <w:sz w:val="22"/>
              </w:rPr>
              <w:t>提供的经国家认证机构认定的第三方检8测机构最新出具的有效检测报告原件</w:t>
            </w:r>
          </w:p>
        </w:tc>
        <w:tc>
          <w:tcPr>
            <w:tcW w:w="710" w:type="dxa"/>
            <w:vMerge/>
            <w:vAlign w:val="center"/>
          </w:tcPr>
          <w:p w:rsidR="00054155" w:rsidRDefault="00054155" w:rsidP="00024513">
            <w:pPr>
              <w:jc w:val="left"/>
              <w:rPr>
                <w:rFonts w:ascii="宋体" w:hAnsi="宋体" w:cs="宋体"/>
                <w:kern w:val="0"/>
                <w:szCs w:val="21"/>
              </w:rPr>
            </w:pPr>
          </w:p>
        </w:tc>
        <w:tc>
          <w:tcPr>
            <w:tcW w:w="1004" w:type="dxa"/>
            <w:vMerge/>
            <w:vAlign w:val="center"/>
          </w:tcPr>
          <w:p w:rsidR="00054155" w:rsidRDefault="00054155" w:rsidP="00024513">
            <w:pPr>
              <w:jc w:val="left"/>
              <w:rPr>
                <w:rFonts w:ascii="宋体" w:hAnsi="宋体" w:cs="宋体"/>
                <w:kern w:val="0"/>
                <w:szCs w:val="21"/>
              </w:rPr>
            </w:pPr>
          </w:p>
        </w:tc>
        <w:tc>
          <w:tcPr>
            <w:tcW w:w="2794" w:type="dxa"/>
            <w:vMerge/>
            <w:vAlign w:val="center"/>
          </w:tcPr>
          <w:p w:rsidR="00054155" w:rsidRDefault="00054155" w:rsidP="00024513">
            <w:pPr>
              <w:jc w:val="left"/>
              <w:rPr>
                <w:rFonts w:ascii="宋体" w:hAnsi="宋体" w:cs="宋体"/>
                <w:kern w:val="0"/>
                <w:szCs w:val="21"/>
              </w:rPr>
            </w:pPr>
          </w:p>
        </w:tc>
      </w:tr>
      <w:tr w:rsidR="00054155" w:rsidTr="00054155">
        <w:trPr>
          <w:trHeight w:val="784"/>
          <w:jc w:val="center"/>
        </w:trPr>
        <w:tc>
          <w:tcPr>
            <w:tcW w:w="722" w:type="dxa"/>
            <w:vAlign w:val="center"/>
          </w:tcPr>
          <w:p w:rsidR="00054155" w:rsidRDefault="00054155" w:rsidP="00024513">
            <w:pPr>
              <w:jc w:val="left"/>
            </w:pPr>
            <w:r>
              <w:rPr>
                <w:rFonts w:ascii="宋体" w:hAnsi="宋体" w:cs="宋体" w:hint="eastAsia"/>
                <w:kern w:val="0"/>
                <w:szCs w:val="21"/>
              </w:rPr>
              <w:t>窗帘辅料</w:t>
            </w:r>
          </w:p>
        </w:tc>
        <w:tc>
          <w:tcPr>
            <w:tcW w:w="4118" w:type="dxa"/>
          </w:tcPr>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1、高档加厚防水有纺布带，成份为绵纶混纺，抗紫外线，耐老化。</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2、每副窗帘配置纽扣型绑带。</w:t>
            </w:r>
          </w:p>
        </w:tc>
        <w:tc>
          <w:tcPr>
            <w:tcW w:w="710" w:type="dxa"/>
            <w:vAlign w:val="center"/>
          </w:tcPr>
          <w:p w:rsidR="00054155" w:rsidRDefault="00054155" w:rsidP="00024513">
            <w:pPr>
              <w:jc w:val="left"/>
              <w:rPr>
                <w:rFonts w:ascii="宋体" w:hAnsi="宋体" w:cs="宋体"/>
                <w:kern w:val="0"/>
                <w:szCs w:val="21"/>
              </w:rPr>
            </w:pPr>
          </w:p>
        </w:tc>
        <w:tc>
          <w:tcPr>
            <w:tcW w:w="1004" w:type="dxa"/>
            <w:vAlign w:val="center"/>
          </w:tcPr>
          <w:p w:rsidR="00054155" w:rsidRDefault="00054155" w:rsidP="00024513">
            <w:pPr>
              <w:jc w:val="left"/>
              <w:rPr>
                <w:rFonts w:ascii="宋体" w:hAnsi="宋体" w:cs="宋体"/>
                <w:kern w:val="0"/>
                <w:szCs w:val="21"/>
              </w:rPr>
            </w:pPr>
          </w:p>
        </w:tc>
        <w:tc>
          <w:tcPr>
            <w:tcW w:w="2794" w:type="dxa"/>
            <w:vAlign w:val="center"/>
          </w:tcPr>
          <w:p w:rsidR="00054155" w:rsidRDefault="00054155" w:rsidP="00024513">
            <w:pPr>
              <w:jc w:val="left"/>
              <w:rPr>
                <w:rFonts w:ascii="宋体" w:hAnsi="宋体" w:cs="宋体"/>
                <w:kern w:val="0"/>
                <w:szCs w:val="21"/>
              </w:rPr>
            </w:pPr>
          </w:p>
        </w:tc>
      </w:tr>
      <w:tr w:rsidR="00054155" w:rsidTr="00054155">
        <w:trPr>
          <w:trHeight w:val="918"/>
          <w:jc w:val="center"/>
        </w:trPr>
        <w:tc>
          <w:tcPr>
            <w:tcW w:w="722" w:type="dxa"/>
            <w:vAlign w:val="center"/>
          </w:tcPr>
          <w:p w:rsidR="00054155" w:rsidRDefault="00054155" w:rsidP="00024513">
            <w:pPr>
              <w:jc w:val="left"/>
              <w:rPr>
                <w:rFonts w:ascii="宋体" w:hAnsi="宋体" w:cs="宋体"/>
                <w:kern w:val="0"/>
                <w:szCs w:val="21"/>
              </w:rPr>
            </w:pPr>
          </w:p>
        </w:tc>
        <w:tc>
          <w:tcPr>
            <w:tcW w:w="4118" w:type="dxa"/>
          </w:tcPr>
          <w:p w:rsidR="00054155" w:rsidRDefault="00054155" w:rsidP="00024513">
            <w:pPr>
              <w:widowControl/>
              <w:jc w:val="left"/>
              <w:textAlignment w:val="center"/>
              <w:rPr>
                <w:rFonts w:ascii="宋体" w:hAnsi="宋体" w:cs="宋体"/>
                <w:kern w:val="0"/>
                <w:szCs w:val="21"/>
              </w:rPr>
            </w:pPr>
          </w:p>
        </w:tc>
        <w:tc>
          <w:tcPr>
            <w:tcW w:w="710" w:type="dxa"/>
            <w:vAlign w:val="center"/>
          </w:tcPr>
          <w:p w:rsidR="00054155" w:rsidRDefault="00054155" w:rsidP="00024513">
            <w:pPr>
              <w:jc w:val="left"/>
              <w:rPr>
                <w:rFonts w:ascii="宋体" w:hAnsi="宋体" w:cs="宋体"/>
                <w:kern w:val="0"/>
                <w:szCs w:val="21"/>
              </w:rPr>
            </w:pPr>
          </w:p>
        </w:tc>
        <w:tc>
          <w:tcPr>
            <w:tcW w:w="1004" w:type="dxa"/>
            <w:vAlign w:val="center"/>
          </w:tcPr>
          <w:p w:rsidR="00054155" w:rsidRDefault="00054155" w:rsidP="00024513">
            <w:pPr>
              <w:jc w:val="left"/>
              <w:rPr>
                <w:rFonts w:ascii="宋体" w:hAnsi="宋体" w:cs="宋体"/>
                <w:kern w:val="0"/>
                <w:szCs w:val="21"/>
              </w:rPr>
            </w:pPr>
          </w:p>
        </w:tc>
        <w:tc>
          <w:tcPr>
            <w:tcW w:w="2794" w:type="dxa"/>
            <w:vAlign w:val="center"/>
          </w:tcPr>
          <w:p w:rsidR="00054155" w:rsidRDefault="00054155" w:rsidP="00024513">
            <w:pPr>
              <w:jc w:val="left"/>
              <w:rPr>
                <w:rFonts w:ascii="宋体" w:hAnsi="宋体" w:cs="宋体"/>
                <w:kern w:val="0"/>
                <w:szCs w:val="21"/>
              </w:rPr>
            </w:pPr>
          </w:p>
        </w:tc>
      </w:tr>
    </w:tbl>
    <w:p w:rsidR="00054155" w:rsidRDefault="00054155" w:rsidP="00B95A73"/>
    <w:p w:rsidR="00054155" w:rsidRDefault="00054155" w:rsidP="00B95A73"/>
    <w:p w:rsidR="00054155" w:rsidRDefault="00054155" w:rsidP="00B95A73"/>
    <w:tbl>
      <w:tblPr>
        <w:tblW w:w="9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0"/>
        <w:gridCol w:w="4253"/>
        <w:gridCol w:w="709"/>
        <w:gridCol w:w="1127"/>
        <w:gridCol w:w="2514"/>
      </w:tblGrid>
      <w:tr w:rsidR="00054155" w:rsidTr="00054155">
        <w:trPr>
          <w:trHeight w:val="841"/>
          <w:jc w:val="center"/>
        </w:trPr>
        <w:tc>
          <w:tcPr>
            <w:tcW w:w="730" w:type="dxa"/>
            <w:tcBorders>
              <w:top w:val="single" w:sz="4" w:space="0" w:color="auto"/>
              <w:left w:val="single" w:sz="4" w:space="0" w:color="auto"/>
              <w:bottom w:val="single" w:sz="4" w:space="0" w:color="auto"/>
              <w:right w:val="single" w:sz="4" w:space="0" w:color="auto"/>
            </w:tcBorders>
            <w:vAlign w:val="center"/>
          </w:tcPr>
          <w:p w:rsidR="00054155" w:rsidRDefault="00054155" w:rsidP="00024513">
            <w:pPr>
              <w:widowControl/>
              <w:rPr>
                <w:rFonts w:ascii="宋体" w:hAnsi="宋体" w:cs="宋体"/>
                <w:b/>
                <w:bCs/>
                <w:kern w:val="0"/>
                <w:szCs w:val="21"/>
              </w:rPr>
            </w:pPr>
            <w:r>
              <w:rPr>
                <w:rFonts w:ascii="宋体" w:hAnsi="宋体" w:cs="宋体" w:hint="eastAsia"/>
                <w:b/>
                <w:bCs/>
                <w:kern w:val="0"/>
                <w:szCs w:val="21"/>
              </w:rPr>
              <w:t>名称</w:t>
            </w:r>
          </w:p>
        </w:tc>
        <w:tc>
          <w:tcPr>
            <w:tcW w:w="4253" w:type="dxa"/>
            <w:tcBorders>
              <w:top w:val="single" w:sz="4" w:space="0" w:color="auto"/>
              <w:left w:val="single" w:sz="4" w:space="0" w:color="auto"/>
              <w:bottom w:val="single" w:sz="4" w:space="0" w:color="auto"/>
              <w:right w:val="single" w:sz="4" w:space="0" w:color="auto"/>
            </w:tcBorders>
            <w:vAlign w:val="center"/>
          </w:tcPr>
          <w:p w:rsidR="00054155" w:rsidRDefault="00054155" w:rsidP="00024513">
            <w:pPr>
              <w:widowControl/>
              <w:jc w:val="center"/>
              <w:rPr>
                <w:rFonts w:ascii="宋体" w:hAnsi="宋体" w:cs="宋体"/>
                <w:b/>
                <w:bCs/>
                <w:kern w:val="0"/>
                <w:szCs w:val="21"/>
              </w:rPr>
            </w:pPr>
            <w:r>
              <w:rPr>
                <w:rFonts w:ascii="宋体" w:hAnsi="宋体" w:cs="宋体" w:hint="eastAsia"/>
                <w:b/>
                <w:bCs/>
                <w:kern w:val="0"/>
                <w:szCs w:val="21"/>
              </w:rPr>
              <w:t>技术参数</w:t>
            </w:r>
          </w:p>
        </w:tc>
        <w:tc>
          <w:tcPr>
            <w:tcW w:w="709" w:type="dxa"/>
            <w:tcBorders>
              <w:top w:val="single" w:sz="4" w:space="0" w:color="auto"/>
              <w:left w:val="single" w:sz="4" w:space="0" w:color="auto"/>
              <w:bottom w:val="single" w:sz="4" w:space="0" w:color="auto"/>
              <w:right w:val="single" w:sz="4" w:space="0" w:color="auto"/>
            </w:tcBorders>
            <w:vAlign w:val="center"/>
          </w:tcPr>
          <w:p w:rsidR="00054155" w:rsidRDefault="00054155" w:rsidP="00024513">
            <w:pPr>
              <w:widowControl/>
              <w:jc w:val="center"/>
              <w:rPr>
                <w:rFonts w:ascii="宋体" w:hAnsi="宋体" w:cs="宋体"/>
                <w:b/>
                <w:bCs/>
                <w:kern w:val="0"/>
                <w:szCs w:val="21"/>
              </w:rPr>
            </w:pPr>
            <w:r>
              <w:rPr>
                <w:rFonts w:ascii="宋体" w:hAnsi="宋体" w:cs="宋体" w:hint="eastAsia"/>
                <w:b/>
                <w:bCs/>
                <w:kern w:val="0"/>
                <w:szCs w:val="21"/>
              </w:rPr>
              <w:t>单位</w:t>
            </w:r>
          </w:p>
        </w:tc>
        <w:tc>
          <w:tcPr>
            <w:tcW w:w="1127" w:type="dxa"/>
            <w:tcBorders>
              <w:top w:val="single" w:sz="4" w:space="0" w:color="auto"/>
              <w:left w:val="single" w:sz="4" w:space="0" w:color="auto"/>
              <w:bottom w:val="single" w:sz="4" w:space="0" w:color="auto"/>
              <w:right w:val="single" w:sz="4" w:space="0" w:color="auto"/>
            </w:tcBorders>
            <w:vAlign w:val="center"/>
          </w:tcPr>
          <w:p w:rsidR="00054155" w:rsidRDefault="00054155" w:rsidP="00024513">
            <w:pPr>
              <w:widowControl/>
              <w:jc w:val="center"/>
              <w:rPr>
                <w:rFonts w:ascii="宋体" w:hAnsi="宋体" w:cs="宋体"/>
                <w:b/>
                <w:bCs/>
                <w:kern w:val="0"/>
                <w:szCs w:val="21"/>
              </w:rPr>
            </w:pPr>
            <w:r>
              <w:rPr>
                <w:rFonts w:ascii="宋体" w:hAnsi="宋体" w:cs="宋体" w:hint="eastAsia"/>
                <w:b/>
                <w:bCs/>
                <w:kern w:val="0"/>
                <w:szCs w:val="21"/>
              </w:rPr>
              <w:t>数 量</w:t>
            </w:r>
          </w:p>
        </w:tc>
        <w:tc>
          <w:tcPr>
            <w:tcW w:w="2514" w:type="dxa"/>
            <w:tcBorders>
              <w:top w:val="single" w:sz="4" w:space="0" w:color="auto"/>
              <w:left w:val="single" w:sz="4" w:space="0" w:color="auto"/>
              <w:bottom w:val="single" w:sz="4" w:space="0" w:color="auto"/>
              <w:right w:val="single" w:sz="4" w:space="0" w:color="auto"/>
            </w:tcBorders>
            <w:vAlign w:val="center"/>
          </w:tcPr>
          <w:p w:rsidR="00054155" w:rsidRDefault="00054155" w:rsidP="00024513">
            <w:pPr>
              <w:widowControl/>
              <w:jc w:val="center"/>
              <w:rPr>
                <w:rFonts w:ascii="宋体" w:hAnsi="宋体" w:cs="宋体"/>
                <w:b/>
                <w:bCs/>
                <w:kern w:val="0"/>
                <w:szCs w:val="21"/>
              </w:rPr>
            </w:pPr>
            <w:r>
              <w:rPr>
                <w:rFonts w:ascii="宋体" w:hAnsi="宋体" w:cs="宋体" w:hint="eastAsia"/>
                <w:b/>
                <w:bCs/>
                <w:kern w:val="0"/>
                <w:szCs w:val="21"/>
              </w:rPr>
              <w:t>参考图示</w:t>
            </w:r>
          </w:p>
        </w:tc>
      </w:tr>
      <w:tr w:rsidR="00054155" w:rsidTr="00054155">
        <w:trPr>
          <w:trHeight w:val="1540"/>
          <w:jc w:val="center"/>
        </w:trPr>
        <w:tc>
          <w:tcPr>
            <w:tcW w:w="730" w:type="dxa"/>
            <w:vMerge w:val="restart"/>
            <w:vAlign w:val="center"/>
          </w:tcPr>
          <w:p w:rsidR="00054155" w:rsidRDefault="00054155" w:rsidP="00024513">
            <w:pPr>
              <w:widowControl/>
              <w:jc w:val="center"/>
              <w:textAlignment w:val="center"/>
              <w:rPr>
                <w:rFonts w:ascii="宋体" w:hAnsi="宋体" w:cs="宋体"/>
                <w:szCs w:val="21"/>
              </w:rPr>
            </w:pPr>
            <w:r>
              <w:rPr>
                <w:rFonts w:ascii="宋体" w:hAnsi="宋体" w:cs="宋体" w:hint="eastAsia"/>
                <w:szCs w:val="21"/>
              </w:rPr>
              <w:t>隔帘</w:t>
            </w:r>
          </w:p>
        </w:tc>
        <w:tc>
          <w:tcPr>
            <w:tcW w:w="4253" w:type="dxa"/>
            <w:vAlign w:val="center"/>
          </w:tcPr>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门幅2.8±0.05米,网格及布一体成型编织而成（网格宽度55±5cm）</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纤维含量：100%聚酯纤维；</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▲克重：干燥重量≥260g/㎡；</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水洗尺寸变化率：经纬向≤±1.5%；</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耐皂洗色牢度：≥4级；</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PH值：符合4.0-7.5；</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具有良好的抗静电性能；</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安装离地20cm</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▲游离甲醛含量：≤20mg/kg;</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▲断裂强力≥300N；</w:t>
            </w:r>
          </w:p>
          <w:p w:rsidR="00054155" w:rsidRDefault="00054155" w:rsidP="00024513">
            <w:pPr>
              <w:jc w:val="left"/>
              <w:rPr>
                <w:rFonts w:ascii="宋体" w:hAnsi="宋体" w:cs="宋体"/>
                <w:kern w:val="0"/>
                <w:szCs w:val="21"/>
              </w:rPr>
            </w:pPr>
            <w:r>
              <w:rPr>
                <w:rFonts w:ascii="宋体" w:hAnsi="宋体" w:cs="宋体" w:hint="eastAsia"/>
                <w:kern w:val="0"/>
                <w:szCs w:val="21"/>
              </w:rPr>
              <w:t>▲阻燃等级：符合GB/T17951-2006建筑材料及制品燃烧性能分级B1级。</w:t>
            </w:r>
          </w:p>
          <w:p w:rsidR="00054155" w:rsidRDefault="00054155" w:rsidP="00024513">
            <w:pPr>
              <w:jc w:val="left"/>
              <w:rPr>
                <w:rFonts w:ascii="宋体" w:hAnsi="宋体" w:cs="宋体"/>
                <w:kern w:val="0"/>
                <w:szCs w:val="21"/>
              </w:rPr>
            </w:pPr>
            <w:r>
              <w:rPr>
                <w:rFonts w:ascii="宋体" w:hAnsi="宋体" w:cs="宋体" w:hint="eastAsia"/>
                <w:kern w:val="0"/>
                <w:szCs w:val="21"/>
              </w:rPr>
              <w:t>▲颜色要求为单色，需提供15种以上颜色图案隔帘布供采购人选择</w:t>
            </w:r>
          </w:p>
        </w:tc>
        <w:tc>
          <w:tcPr>
            <w:tcW w:w="709" w:type="dxa"/>
            <w:vMerge w:val="restart"/>
            <w:vAlign w:val="center"/>
          </w:tcPr>
          <w:p w:rsidR="00054155" w:rsidRDefault="00054155" w:rsidP="00024513">
            <w:pPr>
              <w:widowControl/>
              <w:jc w:val="center"/>
              <w:textAlignment w:val="center"/>
              <w:rPr>
                <w:rFonts w:ascii="宋体" w:hAnsi="宋体" w:cs="宋体"/>
                <w:kern w:val="0"/>
                <w:szCs w:val="21"/>
              </w:rPr>
            </w:pPr>
            <w:r>
              <w:rPr>
                <w:rFonts w:ascii="宋体" w:hAnsi="宋体" w:cs="宋体" w:hint="eastAsia"/>
                <w:kern w:val="0"/>
                <w:szCs w:val="21"/>
              </w:rPr>
              <w:t>米</w:t>
            </w:r>
          </w:p>
        </w:tc>
        <w:tc>
          <w:tcPr>
            <w:tcW w:w="1127" w:type="dxa"/>
            <w:vMerge w:val="restart"/>
            <w:vAlign w:val="center"/>
          </w:tcPr>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r>
              <w:rPr>
                <w:rFonts w:ascii="宋体" w:hAnsi="宋体" w:cs="宋体" w:hint="eastAsia"/>
                <w:kern w:val="0"/>
                <w:szCs w:val="21"/>
              </w:rPr>
              <w:t>5.32*62</w:t>
            </w:r>
          </w:p>
          <w:p w:rsidR="00054155" w:rsidRDefault="00054155" w:rsidP="00024513">
            <w:pPr>
              <w:widowControl/>
              <w:jc w:val="center"/>
              <w:textAlignment w:val="center"/>
              <w:rPr>
                <w:rFonts w:ascii="宋体" w:hAnsi="宋体" w:cs="宋体"/>
                <w:kern w:val="0"/>
                <w:szCs w:val="21"/>
              </w:rPr>
            </w:pPr>
          </w:p>
          <w:p w:rsidR="00054155" w:rsidRDefault="00054155" w:rsidP="00024513">
            <w:pPr>
              <w:widowControl/>
              <w:jc w:val="center"/>
              <w:textAlignment w:val="center"/>
              <w:rPr>
                <w:rFonts w:ascii="宋体" w:hAnsi="宋体" w:cs="宋体"/>
                <w:kern w:val="0"/>
                <w:szCs w:val="21"/>
              </w:rPr>
            </w:pPr>
          </w:p>
          <w:p w:rsidR="00054155" w:rsidRDefault="00054155" w:rsidP="00024513">
            <w:pPr>
              <w:widowControl/>
              <w:textAlignment w:val="center"/>
              <w:rPr>
                <w:rFonts w:ascii="宋体" w:hAnsi="宋体" w:cs="宋体"/>
                <w:kern w:val="0"/>
                <w:szCs w:val="21"/>
              </w:rPr>
            </w:pPr>
            <w:r>
              <w:rPr>
                <w:rFonts w:ascii="宋体" w:hAnsi="宋体" w:cs="宋体" w:hint="eastAsia"/>
                <w:kern w:val="0"/>
                <w:szCs w:val="21"/>
              </w:rPr>
              <w:t>按1:1.4</w:t>
            </w:r>
          </w:p>
        </w:tc>
        <w:tc>
          <w:tcPr>
            <w:tcW w:w="2514" w:type="dxa"/>
            <w:vMerge w:val="restart"/>
            <w:vAlign w:val="center"/>
          </w:tcPr>
          <w:p w:rsidR="00054155" w:rsidRDefault="00054155" w:rsidP="00024513">
            <w:pPr>
              <w:widowControl/>
              <w:jc w:val="center"/>
            </w:pPr>
            <w:r>
              <w:rPr>
                <w:rFonts w:ascii="宋体" w:hAnsi="宋体" w:cs="宋体" w:hint="eastAsia"/>
                <w:noProof/>
                <w:kern w:val="0"/>
                <w:szCs w:val="21"/>
              </w:rPr>
              <w:drawing>
                <wp:inline distT="0" distB="0" distL="0" distR="0">
                  <wp:extent cx="1476375" cy="1819275"/>
                  <wp:effectExtent l="19050" t="0" r="9525" b="0"/>
                  <wp:docPr id="7" name="图片 6"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11"/>
                          <pic:cNvPicPr>
                            <a:picLocks noChangeAspect="1" noChangeArrowheads="1"/>
                          </pic:cNvPicPr>
                        </pic:nvPicPr>
                        <pic:blipFill>
                          <a:blip r:embed="rId10"/>
                          <a:srcRect/>
                          <a:stretch>
                            <a:fillRect/>
                          </a:stretch>
                        </pic:blipFill>
                        <pic:spPr bwMode="auto">
                          <a:xfrm>
                            <a:off x="0" y="0"/>
                            <a:ext cx="1476375" cy="1819275"/>
                          </a:xfrm>
                          <a:prstGeom prst="rect">
                            <a:avLst/>
                          </a:prstGeom>
                          <a:noFill/>
                          <a:ln w="9525">
                            <a:noFill/>
                            <a:miter lim="800000"/>
                            <a:headEnd/>
                            <a:tailEnd/>
                          </a:ln>
                        </pic:spPr>
                      </pic:pic>
                    </a:graphicData>
                  </a:graphic>
                </wp:inline>
              </w:drawing>
            </w:r>
          </w:p>
          <w:p w:rsidR="00054155" w:rsidRDefault="00054155" w:rsidP="00024513">
            <w:pPr>
              <w:widowControl/>
              <w:jc w:val="center"/>
            </w:pPr>
          </w:p>
          <w:p w:rsidR="00054155" w:rsidRDefault="00054155" w:rsidP="00024513">
            <w:pPr>
              <w:widowControl/>
              <w:jc w:val="center"/>
            </w:pPr>
          </w:p>
          <w:p w:rsidR="00054155" w:rsidRDefault="00054155" w:rsidP="00024513">
            <w:pPr>
              <w:widowControl/>
              <w:jc w:val="center"/>
            </w:pPr>
          </w:p>
          <w:p w:rsidR="00054155" w:rsidRDefault="00054155" w:rsidP="00024513">
            <w:pPr>
              <w:widowControl/>
              <w:jc w:val="center"/>
              <w:rPr>
                <w:rFonts w:ascii="宋体" w:hAnsi="宋体" w:cs="宋体"/>
                <w:kern w:val="0"/>
                <w:szCs w:val="21"/>
              </w:rPr>
            </w:pPr>
          </w:p>
        </w:tc>
      </w:tr>
      <w:tr w:rsidR="00054155" w:rsidTr="00054155">
        <w:trPr>
          <w:trHeight w:val="690"/>
          <w:jc w:val="center"/>
        </w:trPr>
        <w:tc>
          <w:tcPr>
            <w:tcW w:w="730" w:type="dxa"/>
            <w:vMerge/>
            <w:vAlign w:val="center"/>
          </w:tcPr>
          <w:p w:rsidR="00054155" w:rsidRDefault="00054155" w:rsidP="00024513">
            <w:pPr>
              <w:jc w:val="left"/>
            </w:pPr>
          </w:p>
        </w:tc>
        <w:tc>
          <w:tcPr>
            <w:tcW w:w="4253" w:type="dxa"/>
            <w:vAlign w:val="center"/>
          </w:tcPr>
          <w:p w:rsidR="00054155" w:rsidRDefault="00054155" w:rsidP="00024513">
            <w:pPr>
              <w:jc w:val="left"/>
              <w:rPr>
                <w:rFonts w:ascii="宋体" w:hAnsi="宋体" w:cs="宋体"/>
                <w:kern w:val="0"/>
                <w:szCs w:val="21"/>
              </w:rPr>
            </w:pPr>
            <w:r>
              <w:rPr>
                <w:rFonts w:ascii="宋体" w:hAnsi="宋体" w:cs="宋体" w:hint="eastAsia"/>
                <w:b/>
                <w:sz w:val="22"/>
              </w:rPr>
              <w:t>提供的经国家认证机构认定的第三方检测机构最新出具的有效检测报告原件</w:t>
            </w:r>
          </w:p>
        </w:tc>
        <w:tc>
          <w:tcPr>
            <w:tcW w:w="709" w:type="dxa"/>
            <w:vMerge/>
            <w:vAlign w:val="center"/>
          </w:tcPr>
          <w:p w:rsidR="00054155" w:rsidRDefault="00054155" w:rsidP="00024513">
            <w:pPr>
              <w:jc w:val="left"/>
              <w:rPr>
                <w:rFonts w:ascii="宋体" w:hAnsi="宋体" w:cs="宋体"/>
                <w:kern w:val="0"/>
                <w:szCs w:val="21"/>
              </w:rPr>
            </w:pPr>
          </w:p>
        </w:tc>
        <w:tc>
          <w:tcPr>
            <w:tcW w:w="1127" w:type="dxa"/>
            <w:vMerge/>
            <w:vAlign w:val="center"/>
          </w:tcPr>
          <w:p w:rsidR="00054155" w:rsidRDefault="00054155" w:rsidP="00024513">
            <w:pPr>
              <w:jc w:val="left"/>
              <w:rPr>
                <w:rFonts w:ascii="宋体" w:hAnsi="宋体" w:cs="宋体"/>
                <w:kern w:val="0"/>
                <w:szCs w:val="21"/>
              </w:rPr>
            </w:pPr>
          </w:p>
        </w:tc>
        <w:tc>
          <w:tcPr>
            <w:tcW w:w="2514" w:type="dxa"/>
            <w:vMerge/>
            <w:vAlign w:val="center"/>
          </w:tcPr>
          <w:p w:rsidR="00054155" w:rsidRDefault="00054155" w:rsidP="00024513">
            <w:pPr>
              <w:jc w:val="left"/>
              <w:rPr>
                <w:rFonts w:ascii="宋体" w:hAnsi="宋体" w:cs="宋体"/>
                <w:kern w:val="0"/>
                <w:szCs w:val="21"/>
              </w:rPr>
            </w:pPr>
          </w:p>
        </w:tc>
      </w:tr>
      <w:tr w:rsidR="00054155" w:rsidTr="00054155">
        <w:trPr>
          <w:trHeight w:val="4714"/>
          <w:jc w:val="center"/>
        </w:trPr>
        <w:tc>
          <w:tcPr>
            <w:tcW w:w="730" w:type="dxa"/>
            <w:vMerge w:val="restart"/>
            <w:vAlign w:val="center"/>
          </w:tcPr>
          <w:p w:rsidR="00054155" w:rsidRDefault="00054155" w:rsidP="00024513">
            <w:pPr>
              <w:jc w:val="left"/>
            </w:pPr>
            <w:r>
              <w:rPr>
                <w:rFonts w:ascii="宋体" w:hAnsi="宋体" w:cs="宋体" w:hint="eastAsia"/>
                <w:kern w:val="0"/>
                <w:szCs w:val="21"/>
              </w:rPr>
              <w:t>隔帘轨道（大弯轨道）</w:t>
            </w:r>
          </w:p>
        </w:tc>
        <w:tc>
          <w:tcPr>
            <w:tcW w:w="4253" w:type="dxa"/>
            <w:vAlign w:val="center"/>
          </w:tcPr>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1、轨道：采用高品质特韧型特殊铝合金挤压件，壁厚1.0mm，高度20mm，宽度20mm；每米</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轨道承重面料达到5KG。</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2、滑轮：干式自润滑功能，润滑性能持久，滑动顺畅始终如一。</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3、托架：按键式安装系统，材质为高品质铝合金挤压件，高压喷涂工艺，使用螺丝安装，安装牢固、装配可靠。</w:t>
            </w:r>
          </w:p>
          <w:p w:rsidR="00054155" w:rsidRDefault="00054155" w:rsidP="00024513">
            <w:pPr>
              <w:widowControl/>
              <w:jc w:val="left"/>
              <w:textAlignment w:val="center"/>
              <w:rPr>
                <w:rFonts w:ascii="宋体" w:hAnsi="宋体" w:cs="宋体"/>
                <w:kern w:val="0"/>
                <w:szCs w:val="21"/>
              </w:rPr>
            </w:pPr>
            <w:r>
              <w:rPr>
                <w:rFonts w:ascii="宋体" w:hAnsi="宋体" w:cs="宋体" w:hint="eastAsia"/>
                <w:kern w:val="0"/>
                <w:szCs w:val="21"/>
              </w:rPr>
              <w:t>4、封口：采用拧式终止挂钩带端盖设计，安装方便可靠；抗紫外线材料，抗老化不磨损。结实美观，绿色环保。</w:t>
            </w:r>
          </w:p>
          <w:p w:rsidR="00054155" w:rsidRDefault="00054155" w:rsidP="00024513">
            <w:pPr>
              <w:jc w:val="left"/>
              <w:rPr>
                <w:rFonts w:ascii="宋体" w:hAnsi="宋体" w:cs="宋体"/>
                <w:b/>
                <w:sz w:val="22"/>
              </w:rPr>
            </w:pPr>
            <w:r>
              <w:rPr>
                <w:rFonts w:ascii="宋体" w:hAnsi="宋体" w:cs="宋体" w:hint="eastAsia"/>
                <w:kern w:val="0"/>
                <w:szCs w:val="21"/>
              </w:rPr>
              <w:t>5、窗帘挂钩：制作方法：用于定位褶制作，产品说明：单钩长7公分，宽2.5公分，金属材质，不易生锈；每米6个挂钩</w:t>
            </w:r>
          </w:p>
        </w:tc>
        <w:tc>
          <w:tcPr>
            <w:tcW w:w="709" w:type="dxa"/>
            <w:vMerge w:val="restart"/>
            <w:vAlign w:val="center"/>
          </w:tcPr>
          <w:p w:rsidR="00054155" w:rsidRDefault="00054155" w:rsidP="00024513">
            <w:pPr>
              <w:jc w:val="left"/>
              <w:rPr>
                <w:rFonts w:ascii="宋体" w:hAnsi="宋体" w:cs="宋体"/>
                <w:kern w:val="0"/>
                <w:szCs w:val="21"/>
              </w:rPr>
            </w:pPr>
            <w:r>
              <w:rPr>
                <w:rFonts w:ascii="宋体" w:hAnsi="宋体" w:cs="宋体" w:hint="eastAsia"/>
                <w:kern w:val="0"/>
                <w:szCs w:val="21"/>
              </w:rPr>
              <w:t>米</w:t>
            </w:r>
          </w:p>
        </w:tc>
        <w:tc>
          <w:tcPr>
            <w:tcW w:w="1127" w:type="dxa"/>
            <w:vMerge w:val="restart"/>
            <w:vAlign w:val="center"/>
          </w:tcPr>
          <w:p w:rsidR="00054155" w:rsidRDefault="00054155" w:rsidP="00024513">
            <w:pPr>
              <w:jc w:val="left"/>
              <w:rPr>
                <w:rFonts w:ascii="宋体" w:hAnsi="宋体" w:cs="宋体"/>
                <w:kern w:val="0"/>
                <w:szCs w:val="21"/>
              </w:rPr>
            </w:pPr>
            <w:r>
              <w:rPr>
                <w:rFonts w:ascii="宋体" w:hAnsi="宋体" w:cs="宋体" w:hint="eastAsia"/>
                <w:kern w:val="0"/>
                <w:szCs w:val="21"/>
              </w:rPr>
              <w:t>3.8*62</w:t>
            </w:r>
          </w:p>
        </w:tc>
        <w:tc>
          <w:tcPr>
            <w:tcW w:w="2514" w:type="dxa"/>
            <w:vMerge w:val="restart"/>
            <w:vAlign w:val="center"/>
          </w:tcPr>
          <w:p w:rsidR="00054155" w:rsidRDefault="00054155" w:rsidP="00024513">
            <w:pPr>
              <w:jc w:val="left"/>
              <w:rPr>
                <w:rFonts w:ascii="宋体" w:hAnsi="宋体" w:cs="宋体"/>
                <w:kern w:val="0"/>
                <w:szCs w:val="21"/>
              </w:rPr>
            </w:pPr>
            <w:r>
              <w:rPr>
                <w:rFonts w:ascii="宋体" w:hAnsi="宋体" w:cs="宋体"/>
                <w:noProof/>
                <w:kern w:val="0"/>
                <w:szCs w:val="21"/>
              </w:rPr>
              <w:drawing>
                <wp:inline distT="0" distB="0" distL="0" distR="0">
                  <wp:extent cx="1400175" cy="1076325"/>
                  <wp:effectExtent l="19050" t="0" r="9525" b="0"/>
                  <wp:docPr id="8" name="图片 10" descr="TFCM(C@63XBEGTRUILXRZ9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TFCM(C@63XBEGTRUILXRZ9Y"/>
                          <pic:cNvPicPr>
                            <a:picLocks noChangeAspect="1" noChangeArrowheads="1"/>
                          </pic:cNvPicPr>
                        </pic:nvPicPr>
                        <pic:blipFill>
                          <a:blip r:embed="rId8"/>
                          <a:srcRect/>
                          <a:stretch>
                            <a:fillRect/>
                          </a:stretch>
                        </pic:blipFill>
                        <pic:spPr bwMode="auto">
                          <a:xfrm>
                            <a:off x="0" y="0"/>
                            <a:ext cx="1400175" cy="1076325"/>
                          </a:xfrm>
                          <a:prstGeom prst="rect">
                            <a:avLst/>
                          </a:prstGeom>
                          <a:noFill/>
                          <a:ln w="9525">
                            <a:noFill/>
                            <a:miter lim="800000"/>
                            <a:headEnd/>
                            <a:tailEnd/>
                          </a:ln>
                        </pic:spPr>
                      </pic:pic>
                    </a:graphicData>
                  </a:graphic>
                </wp:inline>
              </w:drawing>
            </w:r>
          </w:p>
        </w:tc>
      </w:tr>
      <w:tr w:rsidR="00054155" w:rsidTr="00054155">
        <w:trPr>
          <w:trHeight w:val="778"/>
          <w:jc w:val="center"/>
        </w:trPr>
        <w:tc>
          <w:tcPr>
            <w:tcW w:w="730" w:type="dxa"/>
            <w:vMerge/>
            <w:vAlign w:val="center"/>
          </w:tcPr>
          <w:p w:rsidR="00054155" w:rsidRDefault="00054155" w:rsidP="00024513">
            <w:pPr>
              <w:jc w:val="left"/>
              <w:rPr>
                <w:rFonts w:ascii="宋体" w:hAnsi="宋体" w:cs="宋体"/>
                <w:kern w:val="0"/>
                <w:szCs w:val="21"/>
              </w:rPr>
            </w:pPr>
          </w:p>
        </w:tc>
        <w:tc>
          <w:tcPr>
            <w:tcW w:w="4253" w:type="dxa"/>
            <w:vAlign w:val="center"/>
          </w:tcPr>
          <w:p w:rsidR="00054155" w:rsidRDefault="00054155" w:rsidP="00024513">
            <w:pPr>
              <w:jc w:val="left"/>
              <w:rPr>
                <w:rFonts w:ascii="宋体" w:hAnsi="宋体" w:cs="宋体"/>
                <w:kern w:val="0"/>
                <w:szCs w:val="21"/>
              </w:rPr>
            </w:pPr>
            <w:r>
              <w:rPr>
                <w:rFonts w:ascii="宋体" w:hAnsi="宋体" w:cs="宋体" w:hint="eastAsia"/>
                <w:b/>
                <w:sz w:val="22"/>
              </w:rPr>
              <w:t>提供的经国家认证机构认定的第三方检测机构最新出具的有效检测报告原件</w:t>
            </w:r>
          </w:p>
        </w:tc>
        <w:tc>
          <w:tcPr>
            <w:tcW w:w="709" w:type="dxa"/>
            <w:vMerge/>
            <w:vAlign w:val="center"/>
          </w:tcPr>
          <w:p w:rsidR="00054155" w:rsidRDefault="00054155" w:rsidP="00024513">
            <w:pPr>
              <w:jc w:val="left"/>
              <w:rPr>
                <w:rFonts w:ascii="宋体" w:hAnsi="宋体" w:cs="宋体"/>
                <w:kern w:val="0"/>
                <w:szCs w:val="21"/>
              </w:rPr>
            </w:pPr>
          </w:p>
        </w:tc>
        <w:tc>
          <w:tcPr>
            <w:tcW w:w="1127" w:type="dxa"/>
            <w:vMerge/>
            <w:vAlign w:val="center"/>
          </w:tcPr>
          <w:p w:rsidR="00054155" w:rsidRDefault="00054155" w:rsidP="00024513">
            <w:pPr>
              <w:jc w:val="left"/>
              <w:rPr>
                <w:rFonts w:ascii="宋体" w:hAnsi="宋体" w:cs="宋体"/>
                <w:kern w:val="0"/>
                <w:szCs w:val="21"/>
              </w:rPr>
            </w:pPr>
          </w:p>
        </w:tc>
        <w:tc>
          <w:tcPr>
            <w:tcW w:w="2514" w:type="dxa"/>
            <w:vMerge/>
            <w:vAlign w:val="center"/>
          </w:tcPr>
          <w:p w:rsidR="00054155" w:rsidRDefault="00054155" w:rsidP="00024513">
            <w:pPr>
              <w:jc w:val="left"/>
              <w:rPr>
                <w:rFonts w:ascii="宋体" w:hAnsi="宋体" w:cs="宋体"/>
                <w:kern w:val="0"/>
                <w:szCs w:val="21"/>
              </w:rPr>
            </w:pPr>
          </w:p>
        </w:tc>
      </w:tr>
      <w:tr w:rsidR="00054155" w:rsidTr="00054155">
        <w:trPr>
          <w:trHeight w:val="1820"/>
          <w:jc w:val="center"/>
        </w:trPr>
        <w:tc>
          <w:tcPr>
            <w:tcW w:w="730" w:type="dxa"/>
            <w:vAlign w:val="center"/>
          </w:tcPr>
          <w:p w:rsidR="00054155" w:rsidRDefault="00054155" w:rsidP="00024513">
            <w:pPr>
              <w:widowControl/>
              <w:jc w:val="center"/>
              <w:textAlignment w:val="center"/>
              <w:rPr>
                <w:rFonts w:ascii="宋体" w:hAnsi="宋体" w:cs="宋体"/>
                <w:kern w:val="0"/>
                <w:szCs w:val="21"/>
              </w:rPr>
            </w:pPr>
            <w:r>
              <w:rPr>
                <w:rFonts w:ascii="宋体" w:hAnsi="宋体" w:cs="宋体" w:hint="eastAsia"/>
                <w:kern w:val="0"/>
                <w:szCs w:val="21"/>
              </w:rPr>
              <w:t>隔帘辅料（包括鸡眼扣</w:t>
            </w:r>
          </w:p>
          <w:p w:rsidR="00054155" w:rsidRDefault="00054155" w:rsidP="00024513">
            <w:pPr>
              <w:widowControl/>
              <w:jc w:val="center"/>
              <w:textAlignment w:val="center"/>
              <w:rPr>
                <w:szCs w:val="21"/>
              </w:rPr>
            </w:pPr>
            <w:r>
              <w:rPr>
                <w:rFonts w:ascii="宋体" w:hAnsi="宋体" w:cs="宋体" w:hint="eastAsia"/>
                <w:kern w:val="0"/>
                <w:szCs w:val="21"/>
              </w:rPr>
              <w:t>、挂</w:t>
            </w:r>
            <w:r>
              <w:rPr>
                <w:rFonts w:ascii="宋体" w:hAnsi="宋体" w:cs="宋体" w:hint="eastAsia"/>
                <w:kern w:val="0"/>
                <w:szCs w:val="21"/>
              </w:rPr>
              <w:lastRenderedPageBreak/>
              <w:t>钩）</w:t>
            </w:r>
          </w:p>
        </w:tc>
        <w:tc>
          <w:tcPr>
            <w:tcW w:w="4253" w:type="dxa"/>
            <w:vAlign w:val="center"/>
          </w:tcPr>
          <w:p w:rsidR="00054155" w:rsidRDefault="00054155" w:rsidP="00024513">
            <w:pPr>
              <w:rPr>
                <w:szCs w:val="21"/>
              </w:rPr>
            </w:pPr>
            <w:r>
              <w:rPr>
                <w:rFonts w:hint="eastAsia"/>
                <w:szCs w:val="21"/>
              </w:rPr>
              <w:lastRenderedPageBreak/>
              <w:t>1</w:t>
            </w:r>
            <w:r>
              <w:rPr>
                <w:rFonts w:hint="eastAsia"/>
                <w:szCs w:val="21"/>
              </w:rPr>
              <w:t>、制作方法：用铝材质、鸡眼扣加工方式</w:t>
            </w:r>
          </w:p>
          <w:p w:rsidR="00054155" w:rsidRDefault="00054155" w:rsidP="00024513">
            <w:pPr>
              <w:rPr>
                <w:szCs w:val="21"/>
              </w:rPr>
            </w:pPr>
            <w:r>
              <w:rPr>
                <w:rFonts w:hint="eastAsia"/>
                <w:szCs w:val="21"/>
              </w:rPr>
              <w:t>2</w:t>
            </w:r>
            <w:r>
              <w:rPr>
                <w:rFonts w:hint="eastAsia"/>
                <w:szCs w:val="21"/>
              </w:rPr>
              <w:t>、产品说明：</w:t>
            </w:r>
            <w:r>
              <w:rPr>
                <w:rFonts w:ascii="宋体" w:hAnsi="宋体" w:cs="宋体" w:hint="eastAsia"/>
                <w:kern w:val="0"/>
                <w:szCs w:val="21"/>
              </w:rPr>
              <w:t>▲</w:t>
            </w:r>
            <w:r>
              <w:rPr>
                <w:rFonts w:hint="eastAsia"/>
                <w:szCs w:val="21"/>
              </w:rPr>
              <w:t>用铝材质鸡眼扣加工，洗涤后五金配件不生锈，可直接拆洗隔帘布，不用卸下钩子，洗涤后直接挂布，不用再装钩子，省时省力，拆装简便。每米</w:t>
            </w:r>
            <w:r>
              <w:rPr>
                <w:rFonts w:hint="eastAsia"/>
                <w:szCs w:val="21"/>
              </w:rPr>
              <w:t>7</w:t>
            </w:r>
            <w:r>
              <w:rPr>
                <w:rFonts w:hint="eastAsia"/>
                <w:szCs w:val="21"/>
              </w:rPr>
              <w:t>个鸡眼扣。</w:t>
            </w:r>
            <w:r>
              <w:rPr>
                <w:rFonts w:hint="eastAsia"/>
                <w:szCs w:val="21"/>
              </w:rPr>
              <w:t xml:space="preserve"> </w:t>
            </w:r>
          </w:p>
          <w:p w:rsidR="00054155" w:rsidRDefault="00054155" w:rsidP="00024513">
            <w:pPr>
              <w:rPr>
                <w:szCs w:val="21"/>
              </w:rPr>
            </w:pPr>
            <w:r>
              <w:rPr>
                <w:rFonts w:ascii="宋体" w:hAnsi="宋体" w:cs="宋体" w:hint="eastAsia"/>
                <w:kern w:val="0"/>
                <w:szCs w:val="21"/>
              </w:rPr>
              <w:t>3、每副隔帘配置纽扣型绑带</w:t>
            </w:r>
          </w:p>
          <w:p w:rsidR="00054155" w:rsidRDefault="00054155" w:rsidP="00024513">
            <w:pPr>
              <w:rPr>
                <w:szCs w:val="21"/>
              </w:rPr>
            </w:pPr>
            <w:r>
              <w:rPr>
                <w:rFonts w:ascii="宋体" w:hAnsi="宋体" w:cs="宋体" w:hint="eastAsia"/>
                <w:kern w:val="0"/>
                <w:szCs w:val="21"/>
              </w:rPr>
              <w:lastRenderedPageBreak/>
              <w:t>4、▲</w:t>
            </w:r>
            <w:r>
              <w:rPr>
                <w:rFonts w:ascii="宋体" w:hAnsi="宋体" w:cs="宋体" w:hint="eastAsia"/>
                <w:b/>
                <w:bCs/>
                <w:kern w:val="0"/>
                <w:szCs w:val="21"/>
              </w:rPr>
              <w:t>采用不锈钢S型挂钩</w:t>
            </w:r>
          </w:p>
        </w:tc>
        <w:tc>
          <w:tcPr>
            <w:tcW w:w="709" w:type="dxa"/>
            <w:vAlign w:val="center"/>
          </w:tcPr>
          <w:p w:rsidR="00054155" w:rsidRDefault="00054155" w:rsidP="00024513">
            <w:pPr>
              <w:widowControl/>
              <w:jc w:val="center"/>
              <w:textAlignment w:val="center"/>
              <w:rPr>
                <w:rFonts w:ascii="宋体" w:hAnsi="宋体" w:cs="宋体"/>
                <w:kern w:val="0"/>
                <w:szCs w:val="21"/>
              </w:rPr>
            </w:pPr>
          </w:p>
        </w:tc>
        <w:tc>
          <w:tcPr>
            <w:tcW w:w="1127" w:type="dxa"/>
            <w:vAlign w:val="center"/>
          </w:tcPr>
          <w:p w:rsidR="00054155" w:rsidRDefault="00054155" w:rsidP="00024513">
            <w:pPr>
              <w:widowControl/>
              <w:jc w:val="center"/>
              <w:textAlignment w:val="center"/>
              <w:rPr>
                <w:rFonts w:ascii="宋体" w:hAnsi="宋体" w:cs="宋体"/>
                <w:kern w:val="0"/>
                <w:szCs w:val="21"/>
              </w:rPr>
            </w:pPr>
          </w:p>
        </w:tc>
        <w:tc>
          <w:tcPr>
            <w:tcW w:w="2514" w:type="dxa"/>
            <w:vAlign w:val="center"/>
          </w:tcPr>
          <w:p w:rsidR="00054155" w:rsidRDefault="00054155" w:rsidP="00024513">
            <w:pPr>
              <w:widowControl/>
              <w:jc w:val="center"/>
              <w:rPr>
                <w:rFonts w:ascii="宋体" w:hAnsi="宋体" w:cs="宋体"/>
                <w:kern w:val="0"/>
                <w:szCs w:val="21"/>
              </w:rPr>
            </w:pPr>
          </w:p>
        </w:tc>
      </w:tr>
    </w:tbl>
    <w:p w:rsidR="00054155" w:rsidRPr="00054155" w:rsidRDefault="00054155" w:rsidP="00B95A73"/>
    <w:sectPr w:rsidR="00054155" w:rsidRPr="00054155" w:rsidSect="009D264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415F" w:rsidRDefault="0084415F" w:rsidP="00B95A73">
      <w:r>
        <w:separator/>
      </w:r>
    </w:p>
  </w:endnote>
  <w:endnote w:type="continuationSeparator" w:id="1">
    <w:p w:rsidR="0084415F" w:rsidRDefault="0084415F" w:rsidP="00B95A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415F" w:rsidRDefault="0084415F" w:rsidP="00B95A73">
      <w:r>
        <w:separator/>
      </w:r>
    </w:p>
  </w:footnote>
  <w:footnote w:type="continuationSeparator" w:id="1">
    <w:p w:rsidR="0084415F" w:rsidRDefault="0084415F" w:rsidP="00B95A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95A73"/>
    <w:rsid w:val="00054155"/>
    <w:rsid w:val="00177711"/>
    <w:rsid w:val="0045390D"/>
    <w:rsid w:val="00664339"/>
    <w:rsid w:val="00807D90"/>
    <w:rsid w:val="0084415F"/>
    <w:rsid w:val="00B463A3"/>
    <w:rsid w:val="00B95A73"/>
    <w:rsid w:val="00CA289B"/>
    <w:rsid w:val="00CB2EC5"/>
    <w:rsid w:val="00D76FC8"/>
    <w:rsid w:val="00F368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5A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95A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95A73"/>
    <w:rPr>
      <w:sz w:val="18"/>
      <w:szCs w:val="18"/>
    </w:rPr>
  </w:style>
  <w:style w:type="paragraph" w:styleId="a4">
    <w:name w:val="footer"/>
    <w:basedOn w:val="a"/>
    <w:link w:val="Char0"/>
    <w:uiPriority w:val="99"/>
    <w:semiHidden/>
    <w:unhideWhenUsed/>
    <w:rsid w:val="00B95A7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95A73"/>
    <w:rPr>
      <w:sz w:val="18"/>
      <w:szCs w:val="18"/>
    </w:rPr>
  </w:style>
  <w:style w:type="paragraph" w:styleId="a5">
    <w:name w:val="Normal (Web)"/>
    <w:basedOn w:val="a"/>
    <w:uiPriority w:val="99"/>
    <w:semiHidden/>
    <w:unhideWhenUsed/>
    <w:rsid w:val="00B95A73"/>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054155"/>
    <w:rPr>
      <w:sz w:val="18"/>
      <w:szCs w:val="18"/>
    </w:rPr>
  </w:style>
  <w:style w:type="character" w:customStyle="1" w:styleId="Char1">
    <w:name w:val="批注框文本 Char"/>
    <w:basedOn w:val="a0"/>
    <w:link w:val="a6"/>
    <w:uiPriority w:val="99"/>
    <w:semiHidden/>
    <w:rsid w:val="0005415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BEA5B4-27BA-472F-B8A3-D94441B40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215</Words>
  <Characters>1230</Characters>
  <Application>Microsoft Office Word</Application>
  <DocSecurity>0</DocSecurity>
  <Lines>10</Lines>
  <Paragraphs>2</Paragraphs>
  <ScaleCrop>false</ScaleCrop>
  <Company/>
  <LinksUpToDate>false</LinksUpToDate>
  <CharactersWithSpaces>1443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郑子薇</dc:creator>
  <cp:keywords/>
  <dc:description/>
  <cp:lastModifiedBy>徐莉</cp:lastModifiedBy>
  <cp:revision>8</cp:revision>
  <dcterms:created xsi:type="dcterms:W3CDTF">2017-12-21T01:30:00Z</dcterms:created>
  <dcterms:modified xsi:type="dcterms:W3CDTF">2017-12-21T03:01:00Z</dcterms:modified>
</cp:coreProperties>
</file>